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362" w:rsidRPr="008A6D16" w:rsidRDefault="008A6D16" w:rsidP="008A6D16">
      <w:pPr>
        <w:spacing w:line="240" w:lineRule="auto"/>
        <w:contextualSpacing/>
        <w:jc w:val="center"/>
        <w:rPr>
          <w:b/>
          <w:sz w:val="32"/>
        </w:rPr>
      </w:pPr>
      <w:r w:rsidRPr="008A6D16">
        <w:rPr>
          <w:b/>
          <w:sz w:val="32"/>
        </w:rPr>
        <w:t>Liberty County</w:t>
      </w:r>
    </w:p>
    <w:p w:rsidR="008A6D16" w:rsidRPr="008A6D16" w:rsidRDefault="008A6D16" w:rsidP="008A6D16">
      <w:pPr>
        <w:spacing w:line="240" w:lineRule="auto"/>
        <w:contextualSpacing/>
        <w:jc w:val="center"/>
        <w:rPr>
          <w:b/>
          <w:sz w:val="32"/>
        </w:rPr>
      </w:pPr>
      <w:r w:rsidRPr="008A6D16">
        <w:rPr>
          <w:b/>
          <w:sz w:val="32"/>
        </w:rPr>
        <w:t>Old River Drainage District #1</w:t>
      </w:r>
    </w:p>
    <w:p w:rsidR="008A6D16" w:rsidRPr="008A6D16" w:rsidRDefault="008A6D16" w:rsidP="008A6D16">
      <w:pPr>
        <w:spacing w:line="240" w:lineRule="auto"/>
        <w:contextualSpacing/>
        <w:jc w:val="center"/>
        <w:rPr>
          <w:b/>
          <w:sz w:val="32"/>
        </w:rPr>
      </w:pPr>
      <w:r w:rsidRPr="008A6D16">
        <w:rPr>
          <w:b/>
          <w:sz w:val="32"/>
        </w:rPr>
        <w:t>1525 CR 602</w:t>
      </w:r>
    </w:p>
    <w:p w:rsidR="008A6D16" w:rsidRDefault="008A6D16" w:rsidP="008A6D16">
      <w:pPr>
        <w:spacing w:line="240" w:lineRule="auto"/>
        <w:contextualSpacing/>
        <w:jc w:val="center"/>
        <w:rPr>
          <w:b/>
          <w:sz w:val="32"/>
        </w:rPr>
      </w:pPr>
      <w:r w:rsidRPr="008A6D16">
        <w:rPr>
          <w:b/>
          <w:sz w:val="32"/>
        </w:rPr>
        <w:t>Dayton, TX. 77535</w:t>
      </w:r>
    </w:p>
    <w:p w:rsidR="008A6D16" w:rsidRPr="008A6D16" w:rsidRDefault="008A6D16" w:rsidP="008A6D16">
      <w:pPr>
        <w:spacing w:line="240" w:lineRule="auto"/>
        <w:contextualSpacing/>
        <w:jc w:val="center"/>
        <w:rPr>
          <w:b/>
          <w:sz w:val="36"/>
        </w:rPr>
      </w:pPr>
    </w:p>
    <w:p w:rsidR="008A6D16" w:rsidRDefault="00AB0BC6" w:rsidP="00AB0BC6">
      <w:pPr>
        <w:spacing w:line="240" w:lineRule="auto"/>
        <w:contextualSpacing/>
        <w:rPr>
          <w:sz w:val="28"/>
        </w:rPr>
      </w:pPr>
      <w:r>
        <w:rPr>
          <w:sz w:val="28"/>
        </w:rPr>
        <w:t xml:space="preserve">A public hearing on the proposed tax rate was held on September 29, 2023 at 7:30 AM at 1525 CR 602, Dayton, TX. After the public hearing, the Old River Drainage District #1 Board Members adopted the voter-approval tax rate of </w:t>
      </w:r>
      <w:r w:rsidRPr="00AB0BC6">
        <w:rPr>
          <w:sz w:val="28"/>
        </w:rPr>
        <w:t>$.057189294 PER $100</w:t>
      </w:r>
      <w:r>
        <w:rPr>
          <w:sz w:val="28"/>
        </w:rPr>
        <w:t xml:space="preserve">. </w:t>
      </w:r>
    </w:p>
    <w:p w:rsidR="002A70A3" w:rsidRDefault="002A70A3" w:rsidP="00AB0BC6">
      <w:pPr>
        <w:spacing w:line="240" w:lineRule="auto"/>
        <w:contextualSpacing/>
        <w:rPr>
          <w:sz w:val="28"/>
        </w:rPr>
      </w:pPr>
    </w:p>
    <w:p w:rsidR="002A70A3" w:rsidRPr="008A6D16" w:rsidRDefault="002A70A3" w:rsidP="00AB0BC6">
      <w:pPr>
        <w:spacing w:line="240" w:lineRule="auto"/>
        <w:contextualSpacing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672285" cy="1025525"/>
            <wp:effectExtent l="0" t="0" r="444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s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627" cy="1033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70A3" w:rsidRPr="008A6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16"/>
    <w:rsid w:val="002A70A3"/>
    <w:rsid w:val="008A6D16"/>
    <w:rsid w:val="00AB0BC6"/>
    <w:rsid w:val="00C8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5CF06-34F1-44E6-9CBC-FF06AEA6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2023-09-29T15:44:00Z</dcterms:created>
  <dcterms:modified xsi:type="dcterms:W3CDTF">2023-09-29T15:47:00Z</dcterms:modified>
</cp:coreProperties>
</file>